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rPr>
          <w:rFonts w:hint="eastAsia" w:hAnsi="Calibri" w:eastAsiaTheme="minorEastAsia"/>
          <w:b/>
          <w:bCs/>
          <w:sz w:val="48"/>
          <w:szCs w:val="48"/>
          <w:lang w:val="zh-TW"/>
        </w:rPr>
      </w:pPr>
    </w:p>
    <w:p>
      <w:pPr>
        <w:ind w:firstLine="0"/>
        <w:rPr>
          <w:rFonts w:hint="eastAsia" w:hAnsi="Calibri" w:eastAsiaTheme="minorEastAsia"/>
          <w:b/>
          <w:bCs/>
          <w:sz w:val="48"/>
          <w:szCs w:val="48"/>
          <w:lang w:val="zh-TW"/>
        </w:rPr>
      </w:pPr>
    </w:p>
    <w:p>
      <w:pPr>
        <w:ind w:firstLine="0"/>
        <w:jc w:val="center"/>
        <w:rPr>
          <w:rFonts w:hAnsi="Calibri" w:eastAsiaTheme="minorEastAsia"/>
          <w:b/>
          <w:bCs/>
          <w:sz w:val="48"/>
          <w:szCs w:val="48"/>
          <w:lang w:val="zh-TW" w:eastAsia="zh-TW"/>
        </w:rPr>
      </w:pPr>
      <w:r>
        <w:rPr>
          <w:rFonts w:hint="eastAsia" w:hAnsi="Calibri" w:eastAsiaTheme="minorEastAsia"/>
          <w:b/>
          <w:bCs/>
          <w:sz w:val="48"/>
          <w:szCs w:val="48"/>
          <w:lang w:val="zh-TW" w:eastAsia="zh-TW"/>
        </w:rPr>
        <w:t>（——</w:t>
      </w:r>
      <w:r>
        <w:rPr>
          <w:rFonts w:hint="eastAsia" w:hAnsi="Calibri" w:eastAsiaTheme="minorEastAsia"/>
          <w:b/>
          <w:bCs/>
          <w:sz w:val="48"/>
          <w:szCs w:val="48"/>
          <w:lang w:val="zh-TW"/>
        </w:rPr>
        <w:t>课题名称</w:t>
      </w:r>
      <w:r>
        <w:rPr>
          <w:rFonts w:hint="eastAsia" w:hAnsi="Calibri" w:eastAsiaTheme="minorEastAsia"/>
          <w:b/>
          <w:bCs/>
          <w:sz w:val="48"/>
          <w:szCs w:val="48"/>
          <w:lang w:val="zh-TW" w:eastAsia="zh-TW"/>
        </w:rPr>
        <w:t>——）</w:t>
      </w:r>
    </w:p>
    <w:p>
      <w:pPr>
        <w:ind w:firstLine="0"/>
        <w:jc w:val="center"/>
        <w:rPr>
          <w:b/>
          <w:bCs/>
          <w:sz w:val="48"/>
          <w:szCs w:val="48"/>
          <w:lang w:val="zh-TW" w:eastAsia="zh-TW"/>
        </w:rPr>
      </w:pPr>
      <w:r>
        <w:rPr>
          <w:rFonts w:hint="eastAsia" w:hAnsi="Calibri" w:eastAsiaTheme="minorEastAsia"/>
          <w:b/>
          <w:bCs/>
          <w:sz w:val="48"/>
          <w:szCs w:val="48"/>
          <w:lang w:val="zh-TW"/>
        </w:rPr>
        <w:t>临床</w:t>
      </w:r>
      <w:r>
        <w:rPr>
          <w:rFonts w:hint="eastAsia" w:ascii="宋体" w:hAnsi="宋体" w:eastAsia="宋体" w:cs="宋体"/>
          <w:b/>
          <w:bCs/>
          <w:sz w:val="48"/>
          <w:szCs w:val="48"/>
          <w:lang w:val="zh-TW" w:eastAsia="zh-TW"/>
        </w:rPr>
        <w:t>研究方案</w:t>
      </w:r>
    </w:p>
    <w:p>
      <w:pPr>
        <w:ind w:firstLine="0"/>
        <w:rPr>
          <w:rFonts w:eastAsiaTheme="minorEastAsia"/>
          <w:sz w:val="20"/>
          <w:szCs w:val="20"/>
        </w:rPr>
      </w:pPr>
    </w:p>
    <w:p>
      <w:pPr>
        <w:ind w:firstLine="0"/>
        <w:rPr>
          <w:rFonts w:eastAsiaTheme="minorEastAsia"/>
          <w:color w:val="FF0000"/>
          <w:sz w:val="20"/>
          <w:szCs w:val="20"/>
        </w:rPr>
      </w:pPr>
      <w:r>
        <w:rPr>
          <w:rFonts w:hint="eastAsia" w:eastAsiaTheme="minorEastAsia"/>
          <w:color w:val="FF0000"/>
          <w:sz w:val="20"/>
          <w:szCs w:val="20"/>
        </w:rPr>
        <w:t>（以下条目供参考，可根据实际情况更改）</w:t>
      </w:r>
    </w:p>
    <w:p>
      <w:pPr>
        <w:ind w:firstLine="0"/>
        <w:rPr>
          <w:rFonts w:eastAsiaTheme="minorEastAsia"/>
          <w:color w:val="FF0000"/>
        </w:rPr>
      </w:pPr>
    </w:p>
    <w:p>
      <w:pPr>
        <w:ind w:firstLine="280" w:firstLineChars="1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临床研究负责人：</w:t>
      </w:r>
    </w:p>
    <w:p>
      <w:pPr>
        <w:ind w:firstLine="280" w:firstLineChars="1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临床研究负责单位：</w:t>
      </w:r>
    </w:p>
    <w:p>
      <w:pPr>
        <w:ind w:firstLine="280" w:firstLineChars="1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临床研究参加单位：</w:t>
      </w:r>
    </w:p>
    <w:p>
      <w:pPr>
        <w:ind w:firstLine="280" w:firstLineChars="1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申办单位/项目来源：</w:t>
      </w:r>
    </w:p>
    <w:p>
      <w:pPr>
        <w:ind w:firstLine="280" w:firstLineChars="1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本中心主要研究者：</w:t>
      </w:r>
    </w:p>
    <w:p>
      <w:pPr>
        <w:ind w:firstLine="1960" w:firstLineChars="7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签字：</w:t>
      </w:r>
    </w:p>
    <w:p>
      <w:pPr>
        <w:ind w:firstLine="280" w:firstLineChars="1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临床研究计划期限：</w:t>
      </w:r>
    </w:p>
    <w:p>
      <w:pPr>
        <w:ind w:firstLine="0"/>
        <w:rPr>
          <w:rFonts w:eastAsiaTheme="minorEastAsia"/>
        </w:rPr>
      </w:pPr>
    </w:p>
    <w:p>
      <w:pPr>
        <w:ind w:firstLine="0"/>
        <w:rPr>
          <w:rFonts w:eastAsiaTheme="minorEastAsia"/>
        </w:rPr>
      </w:pPr>
    </w:p>
    <w:p>
      <w:pPr>
        <w:ind w:firstLine="0"/>
        <w:rPr>
          <w:rFonts w:eastAsiaTheme="minorEastAsia"/>
        </w:rPr>
      </w:pPr>
    </w:p>
    <w:p>
      <w:pPr>
        <w:ind w:firstLine="200" w:firstLineChars="100"/>
        <w:rPr>
          <w:rFonts w:eastAsiaTheme="minorEastAsia"/>
          <w:sz w:val="20"/>
        </w:rPr>
      </w:pPr>
      <w:r>
        <w:rPr>
          <w:rFonts w:hint="eastAsia" w:eastAsiaTheme="minorEastAsia"/>
          <w:sz w:val="20"/>
        </w:rPr>
        <w:t>版本日期：</w:t>
      </w:r>
    </w:p>
    <w:p>
      <w:pPr>
        <w:ind w:firstLine="200" w:firstLineChars="100"/>
        <w:rPr>
          <w:rFonts w:eastAsiaTheme="minorEastAsia"/>
          <w:sz w:val="20"/>
        </w:rPr>
        <w:sectPr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sz w:val="20"/>
        </w:rPr>
        <w:t>版本号：</w:t>
      </w:r>
    </w:p>
    <w:p>
      <w:pPr>
        <w:ind w:firstLine="200" w:firstLineChars="100"/>
        <w:rPr>
          <w:rFonts w:eastAsiaTheme="minorEastAsia"/>
          <w:sz w:val="2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0"/>
        <w:jc w:val="both"/>
        <w:rPr>
          <w:rFonts w:eastAsiaTheme="minorEastAsia"/>
          <w:sz w:val="20"/>
        </w:rPr>
      </w:pPr>
    </w:p>
    <w:p>
      <w:pPr>
        <w:ind w:firstLine="210" w:firstLineChars="100"/>
        <w:rPr>
          <w:rFonts w:eastAsiaTheme="minorEastAsia"/>
          <w:color w:val="FF0000"/>
          <w:lang w:val="zh-TW"/>
        </w:rPr>
      </w:pPr>
      <w:r>
        <w:rPr>
          <w:rFonts w:hint="eastAsia" w:eastAsiaTheme="minorEastAsia"/>
          <w:color w:val="FF0000"/>
          <w:lang w:val="zh-TW"/>
        </w:rPr>
        <w:t>（以下正文部分各条目供参考，请根据实际情况撰写）</w:t>
      </w:r>
    </w:p>
    <w:p>
      <w:pPr>
        <w:snapToGrid w:val="0"/>
        <w:spacing w:after="0" w:line="360" w:lineRule="auto"/>
        <w:ind w:firstLine="241" w:firstLineChars="100"/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 w:eastAsia="zh-TW"/>
        </w:rPr>
        <w:t>一、</w:t>
      </w:r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研究背景</w:t>
      </w: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和意义</w:t>
      </w:r>
    </w:p>
    <w:p>
      <w:pPr>
        <w:snapToGrid w:val="0"/>
        <w:spacing w:after="0" w:line="360" w:lineRule="auto"/>
        <w:ind w:firstLine="723" w:firstLineChars="300"/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 w:eastAsia="zh-TW"/>
        </w:rPr>
        <w:t>（</w:t>
      </w: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需引出研究问题或假设）</w:t>
      </w:r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 w:eastAsia="zh-TW"/>
        </w:rPr>
        <w:t>二、</w:t>
      </w:r>
      <w:bookmarkStart w:id="0" w:name="_Toc477166324"/>
      <w:bookmarkStart w:id="1" w:name="_Toc2"/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研究目的</w:t>
      </w:r>
      <w:bookmarkEnd w:id="0"/>
      <w:bookmarkEnd w:id="1"/>
    </w:p>
    <w:p>
      <w:pPr>
        <w:snapToGrid w:val="0"/>
        <w:spacing w:after="0" w:line="360" w:lineRule="auto"/>
        <w:ind w:firstLine="241" w:firstLineChars="100"/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三、研究方法</w:t>
      </w:r>
    </w:p>
    <w:p>
      <w:pPr>
        <w:snapToGrid w:val="0"/>
        <w:spacing w:after="0" w:line="360" w:lineRule="auto"/>
        <w:ind w:firstLine="831" w:firstLineChars="345"/>
        <w:rPr>
          <w:rFonts w:hint="eastAsia"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研究设计类型</w:t>
      </w:r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四、研究对象</w:t>
      </w:r>
    </w:p>
    <w:p>
      <w:pPr>
        <w:snapToGrid w:val="0"/>
        <w:spacing w:after="0" w:line="360" w:lineRule="auto"/>
        <w:ind w:left="706" w:leftChars="336" w:firstLine="2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1.</w:t>
      </w:r>
      <w:bookmarkStart w:id="2" w:name="_Toc477166334"/>
      <w:bookmarkStart w:id="3" w:name="_Toc13"/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入组标准</w:t>
      </w:r>
      <w:bookmarkEnd w:id="2"/>
      <w:bookmarkEnd w:id="3"/>
    </w:p>
    <w:p>
      <w:pPr>
        <w:snapToGrid w:val="0"/>
        <w:spacing w:after="0" w:line="360" w:lineRule="auto"/>
        <w:ind w:left="706" w:leftChars="336" w:firstLine="2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2.</w:t>
      </w:r>
      <w:bookmarkStart w:id="4" w:name="_Toc14"/>
      <w:bookmarkStart w:id="5" w:name="_Toc477166335"/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排除标准</w:t>
      </w:r>
      <w:bookmarkEnd w:id="4"/>
      <w:bookmarkEnd w:id="5"/>
    </w:p>
    <w:p>
      <w:pPr>
        <w:snapToGrid w:val="0"/>
        <w:spacing w:after="0" w:line="360" w:lineRule="auto"/>
        <w:ind w:left="706" w:leftChars="336" w:firstLine="2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3.</w:t>
      </w:r>
      <w:bookmarkStart w:id="6" w:name="_Toc477166336"/>
      <w:bookmarkStart w:id="7" w:name="_Toc15"/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研究中止</w:t>
      </w: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/终止</w:t>
      </w:r>
      <w:bookmarkEnd w:id="6"/>
      <w:bookmarkEnd w:id="7"/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标准</w:t>
      </w:r>
    </w:p>
    <w:p>
      <w:pPr>
        <w:snapToGrid w:val="0"/>
        <w:spacing w:after="0" w:line="360" w:lineRule="auto"/>
        <w:ind w:left="706" w:leftChars="336" w:firstLine="2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4.</w:t>
      </w:r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剔除病例标准</w:t>
      </w:r>
    </w:p>
    <w:p>
      <w:pPr>
        <w:snapToGrid w:val="0"/>
        <w:spacing w:after="0" w:line="360" w:lineRule="auto"/>
        <w:ind w:left="706" w:leftChars="336" w:firstLine="2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5.</w:t>
      </w:r>
      <w:bookmarkStart w:id="8" w:name="_Toc17"/>
      <w:bookmarkStart w:id="9" w:name="_Toc477166338"/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脱落病例标准</w:t>
      </w:r>
      <w:bookmarkEnd w:id="8"/>
      <w:bookmarkEnd w:id="9"/>
    </w:p>
    <w:p>
      <w:pPr>
        <w:snapToGrid w:val="0"/>
        <w:spacing w:after="0" w:line="360" w:lineRule="auto"/>
        <w:ind w:firstLine="241" w:firstLineChars="100"/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五、</w:t>
      </w:r>
      <w:bookmarkStart w:id="10" w:name="_Toc477166339"/>
      <w:bookmarkStart w:id="11" w:name="_Toc18"/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研究药物及用药方案</w:t>
      </w:r>
      <w:bookmarkEnd w:id="10"/>
      <w:bookmarkEnd w:id="11"/>
      <w:r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val="zh-TW"/>
        </w:rPr>
        <w:t>（非药物研究可删除）</w:t>
      </w:r>
    </w:p>
    <w:p>
      <w:pPr>
        <w:snapToGrid w:val="0"/>
        <w:spacing w:after="0" w:line="360" w:lineRule="auto"/>
        <w:ind w:firstLine="708" w:firstLineChars="295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1.</w:t>
      </w:r>
      <w:bookmarkStart w:id="12" w:name="_Toc477166340"/>
      <w:bookmarkStart w:id="13" w:name="_Toc19"/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研究药物</w:t>
      </w:r>
      <w:bookmarkEnd w:id="12"/>
      <w:bookmarkEnd w:id="13"/>
    </w:p>
    <w:p>
      <w:pPr>
        <w:snapToGrid w:val="0"/>
        <w:spacing w:after="0" w:line="360" w:lineRule="auto"/>
        <w:ind w:firstLine="708" w:firstLineChars="295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2.</w:t>
      </w:r>
      <w:bookmarkStart w:id="14" w:name="_Toc22"/>
      <w:bookmarkStart w:id="15" w:name="_Toc477166343"/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用药方法及疗程</w:t>
      </w:r>
      <w:bookmarkEnd w:id="14"/>
      <w:bookmarkEnd w:id="15"/>
    </w:p>
    <w:p>
      <w:pPr>
        <w:snapToGrid w:val="0"/>
        <w:spacing w:after="0" w:line="360" w:lineRule="auto"/>
        <w:ind w:firstLine="708" w:firstLineChars="295"/>
        <w:rPr>
          <w:rFonts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3. 合并用药</w:t>
      </w:r>
    </w:p>
    <w:p>
      <w:pPr>
        <w:snapToGrid w:val="0"/>
        <w:spacing w:after="0" w:line="360" w:lineRule="auto"/>
        <w:ind w:firstLine="708" w:firstLineChars="295"/>
        <w:rPr>
          <w:rFonts w:hint="eastAsia"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4.</w:t>
      </w:r>
      <w:bookmarkStart w:id="16" w:name="_Toc477166347"/>
      <w:bookmarkStart w:id="17" w:name="_Toc26"/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 xml:space="preserve"> 注意事项</w:t>
      </w:r>
      <w:bookmarkEnd w:id="16"/>
      <w:bookmarkEnd w:id="17"/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六、</w:t>
      </w:r>
      <w:bookmarkStart w:id="18" w:name="_Toc477166348"/>
      <w:bookmarkStart w:id="19" w:name="_Toc27"/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观察/评价</w:t>
      </w:r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指标和评价方法</w:t>
      </w:r>
      <w:bookmarkEnd w:id="18"/>
      <w:bookmarkEnd w:id="19"/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七、统计学问题</w:t>
      </w:r>
    </w:p>
    <w:p>
      <w:pPr>
        <w:snapToGrid w:val="0"/>
        <w:spacing w:after="0" w:line="360" w:lineRule="auto"/>
        <w:ind w:firstLine="708" w:firstLineChars="295"/>
        <w:rPr>
          <w:rFonts w:hint="eastAsia"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1.样本量估算</w:t>
      </w:r>
    </w:p>
    <w:p>
      <w:pPr>
        <w:snapToGrid w:val="0"/>
        <w:spacing w:after="0" w:line="360" w:lineRule="auto"/>
        <w:ind w:firstLine="708" w:firstLineChars="295"/>
        <w:rPr>
          <w:rFonts w:hint="eastAsia"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/>
        </w:rPr>
        <w:t>2.统计分析方法</w:t>
      </w:r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八、研究实施步骤</w:t>
      </w:r>
      <w:r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val="zh-TW"/>
        </w:rPr>
        <w:t>（详细阐述）</w:t>
      </w:r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九、数据管理</w:t>
      </w:r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十、技术路线</w:t>
      </w:r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图</w:t>
      </w:r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zh-TW"/>
        </w:rPr>
        <w:t>十一、</w:t>
      </w:r>
      <w:bookmarkStart w:id="20" w:name="_Toc394918632"/>
      <w:r>
        <w:rPr>
          <w:rFonts w:hint="eastAsia" w:asciiTheme="minorEastAsia" w:hAnsiTheme="minorEastAsia" w:eastAsiaTheme="minorEastAsia"/>
          <w:b/>
          <w:sz w:val="24"/>
          <w:szCs w:val="24"/>
        </w:rPr>
        <w:t>临床研究流程图</w:t>
      </w:r>
      <w:bookmarkEnd w:id="20"/>
    </w:p>
    <w:p>
      <w:pPr>
        <w:snapToGrid w:val="0"/>
        <w:spacing w:after="0" w:line="360" w:lineRule="auto"/>
        <w:ind w:firstLine="241" w:firstLineChars="100"/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val="zh-TW"/>
        </w:rPr>
        <w:t>（下表供参考）</w:t>
      </w:r>
    </w:p>
    <w:p>
      <w:pPr>
        <w:snapToGrid w:val="0"/>
        <w:spacing w:after="0" w:line="360" w:lineRule="auto"/>
        <w:ind w:firstLine="241" w:firstLineChars="100"/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val="zh-TW"/>
        </w:rPr>
      </w:pPr>
    </w:p>
    <w:tbl>
      <w:tblPr>
        <w:tblStyle w:val="6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576"/>
        <w:gridCol w:w="1255"/>
        <w:gridCol w:w="1134"/>
        <w:gridCol w:w="1134"/>
        <w:gridCol w:w="1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研究阶段</w:t>
            </w:r>
          </w:p>
        </w:tc>
        <w:tc>
          <w:tcPr>
            <w:tcW w:w="6300" w:type="dxa"/>
            <w:gridSpan w:val="5"/>
          </w:tcPr>
          <w:p>
            <w:pPr>
              <w:snapToGrid w:val="0"/>
              <w:spacing w:after="0" w:line="360" w:lineRule="auto"/>
              <w:jc w:val="center"/>
              <w:rPr>
                <w:rFonts w:cs="宋体"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治疗期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随访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ind w:firstLine="0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筛选、基线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ind w:firstLine="0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随访</w:t>
            </w:r>
            <w:r>
              <w:rPr>
                <w:rFonts w:asciiTheme="minorEastAsia" w:hAnsiTheme="minorEastAsia" w:eastAsiaTheme="minorEastAsia"/>
                <w:b/>
              </w:rPr>
              <w:t>1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ind w:firstLine="0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随访</w:t>
            </w:r>
            <w:r>
              <w:rPr>
                <w:rFonts w:asciiTheme="minorEastAsia" w:hAnsiTheme="minorEastAsia" w:eastAsiaTheme="minorEastAsia"/>
                <w:b/>
              </w:rPr>
              <w:t>2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ind w:firstLine="0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随访</w:t>
            </w:r>
            <w:r>
              <w:rPr>
                <w:rFonts w:asciiTheme="minorEastAsia" w:hAnsiTheme="minorEastAsia" w:eastAsiaTheme="minorEastAsia"/>
                <w:b/>
              </w:rPr>
              <w:t>3</w:t>
            </w: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ind w:firstLine="0"/>
              <w:rPr>
                <w:rFonts w:cs="宋体"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随访</w:t>
            </w:r>
            <w:r>
              <w:rPr>
                <w:rFonts w:cs="宋体" w:asciiTheme="minorEastAsia" w:hAnsiTheme="minorEastAsia" w:eastAsiaTheme="minorEastAsia"/>
                <w:b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时间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-7</w:t>
            </w:r>
            <w:r>
              <w:rPr>
                <w:rFonts w:hint="eastAsia" w:ascii="宋体" w:hAnsi="宋体" w:eastAsia="宋体" w:cs="宋体"/>
              </w:rPr>
              <w:t>～</w:t>
            </w:r>
            <w:r>
              <w:rPr>
                <w:rFonts w:asciiTheme="minorEastAsia" w:hAnsiTheme="minorEastAsia" w:eastAsiaTheme="minorEastAsia"/>
              </w:rPr>
              <w:t>0d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7d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14d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21d</w:t>
            </w: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28d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签署知情同意书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确定入排标准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收集一般资料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临床症状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  <w:highlight w:val="yellow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  <w:highlight w:val="yellow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生命体征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腹部超声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血常规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cs="宋体"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凝血功能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血生化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病毒感染筛查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免疫球蛋白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自身抗体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cs="宋体"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甲胎蛋白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cs="宋体"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研究用药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724" w:type="dxa"/>
            <w:gridSpan w:val="4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X----------------------------------------------------X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不良事件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cs="宋体"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科研留血</w:t>
            </w:r>
          </w:p>
        </w:tc>
        <w:tc>
          <w:tcPr>
            <w:tcW w:w="1576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  <w:tc>
          <w:tcPr>
            <w:tcW w:w="1255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01" w:type="dxa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</w:tcPr>
          <w:p>
            <w:pPr>
              <w:snapToGrid w:val="0"/>
              <w:spacing w:after="0" w:line="360" w:lineRule="auto"/>
              <w:rPr>
                <w:rFonts w:cs="宋体" w:asciiTheme="minorEastAsia" w:hAnsiTheme="minorEastAsia" w:eastAsiaTheme="minorEastAsia"/>
                <w:b/>
              </w:rPr>
            </w:pPr>
            <w:r>
              <w:rPr>
                <w:rFonts w:hint="eastAsia" w:cs="宋体" w:asciiTheme="minorEastAsia" w:hAnsiTheme="minorEastAsia" w:eastAsiaTheme="minorEastAsia"/>
                <w:b/>
              </w:rPr>
              <w:t>肝脏病理学检查</w:t>
            </w:r>
            <w:r>
              <w:rPr>
                <w:rFonts w:cs="宋体" w:asciiTheme="minorEastAsia" w:hAnsiTheme="minorEastAsia" w:eastAsiaTheme="minorEastAsia"/>
                <w:b/>
              </w:rPr>
              <w:t>*</w:t>
            </w:r>
          </w:p>
        </w:tc>
        <w:tc>
          <w:tcPr>
            <w:tcW w:w="6300" w:type="dxa"/>
            <w:gridSpan w:val="5"/>
          </w:tcPr>
          <w:p>
            <w:pPr>
              <w:snapToGrid w:val="0"/>
              <w:spacing w:after="0"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X</w:t>
            </w:r>
          </w:p>
        </w:tc>
      </w:tr>
    </w:tbl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napToGrid w:val="0"/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  <w:lang w:val="zh-TW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十二、</w:t>
      </w:r>
      <w:bookmarkStart w:id="21" w:name="_Toc477166366"/>
      <w:bookmarkStart w:id="22" w:name="_Toc46"/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研究期间及研究之后对不良事件的处理</w:t>
      </w:r>
      <w:bookmarkEnd w:id="21"/>
      <w:bookmarkEnd w:id="22"/>
      <w:r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val="zh-TW"/>
        </w:rPr>
        <w:t>（供参考）</w:t>
      </w:r>
    </w:p>
    <w:p>
      <w:pPr>
        <w:pStyle w:val="12"/>
        <w:snapToGrid w:val="0"/>
        <w:spacing w:after="0" w:line="360" w:lineRule="auto"/>
        <w:ind w:left="0" w:firstLineChars="180"/>
        <w:jc w:val="both"/>
        <w:rPr>
          <w:rFonts w:hint="default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>研究者应随访观察和记录所有不良事件的转归，跟踪由于不良事件而退出研究的患者直至不良事件完全解除。研究者必须判断不良事件是否与研究药物有关，并提供支持这一判断的依据。</w:t>
      </w:r>
    </w:p>
    <w:p>
      <w:pPr>
        <w:pStyle w:val="12"/>
        <w:snapToGrid w:val="0"/>
        <w:spacing w:after="0" w:line="360" w:lineRule="auto"/>
        <w:ind w:left="0" w:firstLineChars="180"/>
        <w:jc w:val="both"/>
        <w:rPr>
          <w:rFonts w:hint="default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>所有临床检查或实验室检查中，有临床意义的异常变化项目均应填写不良事件表，并跟踪随访，需每周至少观察一次直至正常或达基线水平。</w:t>
      </w:r>
    </w:p>
    <w:p>
      <w:pPr>
        <w:pStyle w:val="12"/>
        <w:snapToGrid w:val="0"/>
        <w:spacing w:after="0" w:line="360" w:lineRule="auto"/>
        <w:ind w:left="0" w:firstLineChars="180"/>
        <w:jc w:val="both"/>
        <w:rPr>
          <w:rFonts w:hint="default" w:asciiTheme="minorEastAsia" w:hAnsiTheme="minorEastAsia" w:eastAsiaTheme="minorEastAsia"/>
          <w:sz w:val="24"/>
          <w:szCs w:val="24"/>
          <w:lang w:val="zh-TW"/>
        </w:rPr>
      </w:pPr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>本次使用的研究药可能出现的不良反应有：低热</w:t>
      </w:r>
      <w:r>
        <w:rPr>
          <w:rFonts w:asciiTheme="minorEastAsia" w:hAnsiTheme="minorEastAsia" w:eastAsiaTheme="minorEastAsia"/>
          <w:sz w:val="24"/>
          <w:szCs w:val="24"/>
          <w:lang w:val="zh-TW"/>
        </w:rPr>
        <w:t>……</w:t>
      </w:r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>。一般病人可以耐受，无需特殊处理。</w:t>
      </w:r>
      <w:r>
        <w:rPr>
          <w:rFonts w:asciiTheme="minorEastAsia" w:hAnsiTheme="minorEastAsia" w:eastAsiaTheme="minorEastAsia"/>
          <w:sz w:val="24"/>
          <w:szCs w:val="24"/>
          <w:lang w:val="zh-TW"/>
        </w:rPr>
        <w:t>……</w:t>
      </w:r>
    </w:p>
    <w:p>
      <w:pPr>
        <w:snapToGrid w:val="0"/>
        <w:spacing w:after="0" w:line="360" w:lineRule="auto"/>
        <w:ind w:firstLine="240" w:firstLineChars="10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>临床研究过程中发生的任何严重不良事件，研究者应在获知此严重不良事件的24小时之内上报研究单位伦理委员会、临床研究申办单位。同时，研究者必须填写严重不良事件表，记录严重不良事件的发生时间，严重程度、持续时间、采取的措施和转归。</w:t>
      </w:r>
    </w:p>
    <w:p>
      <w:pPr>
        <w:snapToGrid w:val="0"/>
        <w:spacing w:after="0" w:line="360" w:lineRule="auto"/>
        <w:ind w:firstLine="241" w:firstLineChars="100"/>
        <w:rPr>
          <w:rFonts w:cs="宋体" w:asciiTheme="minorEastAsia" w:hAnsiTheme="minorEastAsia" w:eastAsiaTheme="minorEastAsia"/>
          <w:b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十二、</w:t>
      </w:r>
      <w:r>
        <w:rPr>
          <w:rFonts w:cs="宋体" w:asciiTheme="minorEastAsia" w:hAnsiTheme="minorEastAsia" w:eastAsiaTheme="minorEastAsia"/>
          <w:b/>
          <w:sz w:val="24"/>
          <w:szCs w:val="24"/>
        </w:rPr>
        <w:t>研究结束后的随访和医疗措施</w:t>
      </w:r>
    </w:p>
    <w:p>
      <w:pPr>
        <w:snapToGrid w:val="0"/>
        <w:spacing w:after="0" w:line="360" w:lineRule="auto"/>
        <w:ind w:firstLine="241" w:firstLineChars="100"/>
        <w:rPr>
          <w:rFonts w:cs="宋体" w:asciiTheme="minorEastAsia" w:hAnsiTheme="minorEastAsia" w:eastAsiaTheme="minorEastAsia"/>
          <w:b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十三、</w:t>
      </w:r>
      <w:bookmarkStart w:id="23" w:name="_Toc477166383"/>
      <w:bookmarkStart w:id="24" w:name="_Toc63"/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资料保存</w:t>
      </w:r>
      <w:bookmarkEnd w:id="23"/>
      <w:bookmarkEnd w:id="24"/>
      <w:r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val="zh-TW"/>
        </w:rPr>
        <w:t>（供参考）</w:t>
      </w:r>
    </w:p>
    <w:p>
      <w:pPr>
        <w:pStyle w:val="12"/>
        <w:autoSpaceDE w:val="0"/>
        <w:autoSpaceDN w:val="0"/>
        <w:adjustRightInd w:val="0"/>
        <w:snapToGrid w:val="0"/>
        <w:spacing w:after="0" w:line="360" w:lineRule="auto"/>
        <w:ind w:left="0" w:firstLineChars="180"/>
        <w:rPr>
          <w:rFonts w:hint="default"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>CRF为一式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一</w:t>
      </w:r>
      <w:r>
        <w:rPr>
          <w:rFonts w:cs="宋体" w:asciiTheme="minorEastAsia" w:hAnsiTheme="minorEastAsia" w:eastAsiaTheme="minorEastAsia"/>
          <w:sz w:val="24"/>
          <w:szCs w:val="24"/>
        </w:rPr>
        <w:t>份，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统一</w:t>
      </w:r>
      <w:bookmarkStart w:id="27" w:name="_GoBack"/>
      <w:bookmarkEnd w:id="27"/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由</w:t>
      </w:r>
      <w:r>
        <w:rPr>
          <w:rFonts w:cs="宋体" w:asciiTheme="minorEastAsia" w:hAnsiTheme="minorEastAsia" w:eastAsiaTheme="minorEastAsia"/>
          <w:sz w:val="24"/>
          <w:szCs w:val="24"/>
        </w:rPr>
        <w:t>申办单位保留。人口学资料、相关病史、体格检查、一系列实验室检查以及合并用药和不良事件等以CRF表中数据作为原始数据，其中涉及受试者隐私的部分仅体现在原始病历中。</w:t>
      </w:r>
    </w:p>
    <w:p>
      <w:pPr>
        <w:snapToGrid w:val="0"/>
        <w:spacing w:after="0" w:line="360" w:lineRule="auto"/>
        <w:ind w:firstLine="240" w:firstLineChars="10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研究者应按相关要求，妥善保存</w:t>
      </w:r>
      <w:r>
        <w:rPr>
          <w:rFonts w:cs="宋体" w:asciiTheme="minorEastAsia" w:hAnsiTheme="minorEastAsia" w:eastAsiaTheme="minorEastAsia"/>
          <w:sz w:val="24"/>
          <w:szCs w:val="24"/>
        </w:rPr>
        <w:t>研究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文档。</w:t>
      </w:r>
      <w:r>
        <w:rPr>
          <w:rFonts w:cs="宋体" w:asciiTheme="minorEastAsia" w:hAnsiTheme="minorEastAsia" w:eastAsiaTheme="minorEastAsia"/>
          <w:sz w:val="24"/>
          <w:szCs w:val="24"/>
        </w:rPr>
        <w:t>重要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文件应保存至临床</w:t>
      </w:r>
      <w:r>
        <w:rPr>
          <w:rFonts w:cs="宋体" w:asciiTheme="minorEastAsia" w:hAnsiTheme="minorEastAsia" w:eastAsiaTheme="minorEastAsia"/>
          <w:sz w:val="24"/>
          <w:szCs w:val="24"/>
        </w:rPr>
        <w:t>研究结束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后</w:t>
      </w:r>
      <w:r>
        <w:rPr>
          <w:rFonts w:cs="宋体" w:asciiTheme="minorEastAsia" w:hAnsiTheme="minorEastAsia" w:eastAsiaTheme="minorEastAsia"/>
          <w:sz w:val="24"/>
          <w:szCs w:val="24"/>
        </w:rPr>
        <w:t>5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年，到达期限后研究者应及时联系申办方，商讨研究资料的处理方法。</w:t>
      </w:r>
    </w:p>
    <w:p>
      <w:pPr>
        <w:snapToGrid w:val="0"/>
        <w:spacing w:after="0" w:line="360" w:lineRule="auto"/>
        <w:ind w:firstLine="241" w:firstLineChars="100"/>
        <w:rPr>
          <w:rFonts w:cs="宋体" w:asciiTheme="minorEastAsia" w:hAnsiTheme="minorEastAsia" w:eastAsiaTheme="minorEastAsia"/>
          <w:b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十四、</w:t>
      </w:r>
      <w:bookmarkStart w:id="25" w:name="_Toc477166385"/>
      <w:bookmarkStart w:id="26" w:name="_Toc65"/>
      <w:r>
        <w:rPr>
          <w:rFonts w:asciiTheme="minorEastAsia" w:hAnsiTheme="minorEastAsia" w:eastAsiaTheme="minorEastAsia"/>
          <w:b/>
          <w:sz w:val="24"/>
          <w:szCs w:val="24"/>
          <w:lang w:val="zh-TW" w:eastAsia="zh-TW"/>
        </w:rPr>
        <w:t>参考文献</w:t>
      </w:r>
      <w:bookmarkEnd w:id="25"/>
      <w:bookmarkEnd w:id="26"/>
    </w:p>
    <w:p>
      <w:pPr>
        <w:snapToGrid w:val="0"/>
        <w:spacing w:after="0" w:line="360" w:lineRule="auto"/>
        <w:ind w:firstLine="240" w:firstLineChars="100"/>
        <w:rPr>
          <w:rFonts w:eastAsiaTheme="minorEastAsia"/>
          <w:sz w:val="24"/>
          <w:szCs w:val="24"/>
        </w:rPr>
      </w:pPr>
    </w:p>
    <w:sectPr>
      <w:head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200" w:firstLineChars="3100"/>
      <w:rPr>
        <w:rFonts w:hint="eastAsia" w:eastAsiaTheme="minorEastAsia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200" w:firstLineChars="3100"/>
      <w:rPr>
        <w:rFonts w:hint="eastAsia" w:eastAsiaTheme="minorEastAsia"/>
        <w:sz w:val="20"/>
      </w:rPr>
    </w:pPr>
    <w:r>
      <w:rPr>
        <w:rFonts w:hint="eastAsia" w:eastAsiaTheme="minorEastAsia"/>
        <w:sz w:val="20"/>
      </w:rPr>
      <w:t>版本日期：  版本号：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ZlMDc5NWU3MjQ0Y2NiMDA3YWEzMGRjNzk2Y2JkYjQifQ=="/>
  </w:docVars>
  <w:rsids>
    <w:rsidRoot w:val="00BA7336"/>
    <w:rsid w:val="00033B50"/>
    <w:rsid w:val="00114AE8"/>
    <w:rsid w:val="0021000A"/>
    <w:rsid w:val="003F75CC"/>
    <w:rsid w:val="00662522"/>
    <w:rsid w:val="007708FB"/>
    <w:rsid w:val="009B2281"/>
    <w:rsid w:val="009E055D"/>
    <w:rsid w:val="00B76897"/>
    <w:rsid w:val="00BA7336"/>
    <w:rsid w:val="00BD1092"/>
    <w:rsid w:val="00FD7624"/>
    <w:rsid w:val="3D865885"/>
    <w:rsid w:val="7EB5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200" w:line="276" w:lineRule="auto"/>
      <w:ind w:firstLine="432"/>
      <w:jc w:val="left"/>
    </w:pPr>
    <w:rPr>
      <w:rFonts w:ascii="Times New Roman" w:hAnsi="Times New Roman" w:eastAsia="Times New Roman" w:cs="Times New Roman"/>
      <w:color w:val="000000"/>
      <w:kern w:val="0"/>
      <w:sz w:val="21"/>
      <w:szCs w:val="21"/>
      <w:u w:color="000000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next w:val="1"/>
    <w:link w:val="11"/>
    <w:qFormat/>
    <w:uiPriority w:val="0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40" w:after="240" w:line="276" w:lineRule="auto"/>
      <w:jc w:val="left"/>
      <w:outlineLvl w:val="1"/>
    </w:pPr>
    <w:rPr>
      <w:rFonts w:ascii="Times New Roman" w:hAnsi="Times New Roman" w:eastAsia="Times New Roman" w:cs="Times New Roman"/>
      <w:b/>
      <w:bCs/>
      <w:color w:val="000000"/>
      <w:kern w:val="0"/>
      <w:sz w:val="21"/>
      <w:szCs w:val="21"/>
      <w:u w:color="00000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qFormat/>
    <w:uiPriority w:val="99"/>
    <w:rPr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标题 2 Char"/>
    <w:basedOn w:val="7"/>
    <w:link w:val="3"/>
    <w:qFormat/>
    <w:uiPriority w:val="0"/>
    <w:rPr>
      <w:rFonts w:ascii="Times New Roman" w:hAnsi="Times New Roman" w:eastAsia="Times New Roman" w:cs="Times New Roman"/>
      <w:b/>
      <w:bCs/>
      <w:color w:val="000000"/>
      <w:kern w:val="0"/>
      <w:szCs w:val="21"/>
      <w:u w:color="000000"/>
    </w:rPr>
  </w:style>
  <w:style w:type="paragraph" w:styleId="12">
    <w:name w:val="List Paragraph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200" w:line="276" w:lineRule="auto"/>
      <w:ind w:left="720" w:firstLine="432"/>
      <w:jc w:val="left"/>
    </w:pPr>
    <w:rPr>
      <w:rFonts w:hint="eastAsia" w:ascii="Arial Unicode MS" w:hAnsi="Arial Unicode MS" w:eastAsia="Times New Roman" w:cs="Arial Unicode MS"/>
      <w:color w:val="000000"/>
      <w:kern w:val="0"/>
      <w:sz w:val="21"/>
      <w:szCs w:val="21"/>
      <w:u w:color="000000"/>
      <w:lang w:val="en-US" w:eastAsia="zh-CN" w:bidi="ar-SA"/>
    </w:rPr>
  </w:style>
  <w:style w:type="character" w:customStyle="1" w:styleId="13">
    <w:name w:val="标题 1 Char"/>
    <w:basedOn w:val="7"/>
    <w:link w:val="2"/>
    <w:qFormat/>
    <w:uiPriority w:val="9"/>
    <w:rPr>
      <w:rFonts w:ascii="Times New Roman" w:hAnsi="Times New Roman" w:eastAsia="Times New Roman" w:cs="Times New Roman"/>
      <w:b/>
      <w:bCs/>
      <w:color w:val="000000"/>
      <w:kern w:val="44"/>
      <w:sz w:val="44"/>
      <w:szCs w:val="44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1010</Words>
  <Characters>1088</Characters>
  <Lines>9</Lines>
  <Paragraphs>2</Paragraphs>
  <TotalTime>20</TotalTime>
  <ScaleCrop>false</ScaleCrop>
  <LinksUpToDate>false</LinksUpToDate>
  <CharactersWithSpaces>1097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2019-05-21T08:05:00Z</dcterms:created>
  <dc:creator>科研处-孟</dc:creator>
  <cp:lastModifiedBy>Administrator</cp:lastModifiedBy>
  <cp:lastPrinted>2018-02-01T07:11:00Z</cp:lastPrinted>
  <dcterms:modified xsi:type="dcterms:W3CDTF">2023-03-02T00:52:43Z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55216C7B964C4F218E0CBB7126BC4E19</vt:lpwstr>
  </property>
</Properties>
</file>